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8E99" w14:textId="77777777" w:rsidR="007D58D0" w:rsidRPr="007D58D0" w:rsidRDefault="007D58D0" w:rsidP="007D58D0">
      <w:pPr>
        <w:keepNext/>
        <w:spacing w:before="240" w:after="240" w:line="240" w:lineRule="auto"/>
        <w:outlineLvl w:val="0"/>
        <w:rPr>
          <w:rFonts w:ascii="Calibri" w:eastAsia="Times New Roman" w:hAnsi="Calibri" w:cs="Times New Roman"/>
          <w:b/>
          <w:sz w:val="36"/>
          <w:szCs w:val="20"/>
          <w:u w:val="single" w:color="000000"/>
        </w:rPr>
      </w:pPr>
      <w:r w:rsidRPr="007D58D0">
        <w:rPr>
          <w:rFonts w:ascii="Calibri" w:eastAsia="Times New Roman" w:hAnsi="Calibri" w:cs="Times New Roman"/>
          <w:b/>
          <w:sz w:val="36"/>
          <w:szCs w:val="20"/>
          <w:u w:val="single" w:color="000000"/>
        </w:rPr>
        <w:t>Appendix 1: Recommended Amendments to Provisions – Hearing Stream 7 - Small topics, wrap up and Variation 1</w:t>
      </w:r>
    </w:p>
    <w:p w14:paraId="76226164" w14:textId="77777777" w:rsidR="007D58D0" w:rsidRPr="007D58D0" w:rsidRDefault="007D58D0" w:rsidP="007D58D0">
      <w:pPr>
        <w:spacing w:after="240" w:line="240" w:lineRule="auto"/>
        <w:rPr>
          <w:rFonts w:ascii="Calibri" w:eastAsia="Times New Roman" w:hAnsi="Calibri" w:cs="Times New Roman"/>
          <w:b/>
          <w:bCs/>
          <w:sz w:val="24"/>
          <w:szCs w:val="20"/>
          <w:lang w:eastAsia="en-GB"/>
        </w:rPr>
      </w:pPr>
      <w:r w:rsidRPr="007D58D0">
        <w:rPr>
          <w:rFonts w:ascii="Calibri" w:eastAsia="Times New Roman" w:hAnsi="Calibri" w:cs="Times New Roman"/>
          <w:b/>
          <w:bCs/>
          <w:sz w:val="24"/>
          <w:szCs w:val="20"/>
          <w:lang w:eastAsia="en-GB"/>
        </w:rPr>
        <w:t xml:space="preserve">3.4.A: Long-term freshwater visions </w:t>
      </w:r>
      <w:r w:rsidRPr="007D58D0">
        <w:rPr>
          <w:rFonts w:ascii="Calibri" w:eastAsia="Times New Roman" w:hAnsi="Calibri" w:cs="Times New Roman"/>
          <w:b/>
          <w:bCs/>
          <w:noProof/>
          <w:sz w:val="24"/>
          <w:szCs w:val="20"/>
          <w:lang w:eastAsia="en-GB"/>
        </w:rPr>
        <w:drawing>
          <wp:inline distT="0" distB="0" distL="0" distR="0" wp14:anchorId="5E2D3902" wp14:editId="7DF27C92">
            <wp:extent cx="609600" cy="171450"/>
            <wp:effectExtent l="0" t="0" r="0" b="0"/>
            <wp:docPr id="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8D0">
        <w:rPr>
          <w:rFonts w:ascii="Calibri" w:eastAsia="Times New Roman" w:hAnsi="Calibri" w:cs="Times New Roman"/>
          <w:b/>
          <w:bCs/>
          <w:sz w:val="24"/>
          <w:szCs w:val="20"/>
          <w:lang w:eastAsia="en-GB"/>
        </w:rPr>
        <w:t> </w:t>
      </w:r>
    </w:p>
    <w:p w14:paraId="1FFF230E" w14:textId="77777777" w:rsidR="007D58D0" w:rsidRPr="007D58D0" w:rsidRDefault="007D58D0" w:rsidP="007D58D0">
      <w:pPr>
        <w:keepNext/>
        <w:spacing w:after="24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Objective TAP: Long-term freshwater vision for Te Awarua-o-Porirua</w:t>
      </w:r>
      <w:r w:rsidRPr="007D58D0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9F08EF4" w14:textId="77777777" w:rsidR="007D58D0" w:rsidRPr="007D58D0" w:rsidRDefault="007D58D0" w:rsidP="007D58D0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bookmarkStart w:id="0" w:name="_Hlk158291507"/>
      <w:r w:rsidRPr="007D58D0">
        <w:rPr>
          <w:rFonts w:ascii="Calibri" w:eastAsia="Times New Roman" w:hAnsi="Calibri" w:cs="Calibri"/>
          <w:strike/>
          <w:color w:val="FF0000"/>
          <w:sz w:val="24"/>
          <w:szCs w:val="20"/>
          <w:u w:val="single"/>
          <w:shd w:val="clear" w:color="auto" w:fill="FFFFFF"/>
          <w:lang w:eastAsia="en-GB"/>
        </w:rPr>
        <w:t xml:space="preserve">By the year 2100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Te Awarua-o-Porirua </w:t>
      </w:r>
      <w:proofErr w:type="spellStart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>harbour</w:t>
      </w:r>
      <w:proofErr w:type="spellEnd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 xml:space="preserve">, </w:t>
      </w:r>
      <w:proofErr w:type="spellStart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>awa</w:t>
      </w:r>
      <w:proofErr w:type="spellEnd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 xml:space="preserve">, wetlands, groundwater estuaries and coast are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eastAsia="en-GB"/>
        </w:rPr>
        <w:t>progressively improved to become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healthy,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wai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ora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, accessible, sustainable for future generations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eastAsia="en-GB"/>
        </w:rPr>
        <w:t xml:space="preserve"> by the year 2100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, and: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p w14:paraId="3CA8E954" w14:textId="77777777" w:rsidR="007D58D0" w:rsidRPr="007D58D0" w:rsidRDefault="007D58D0" w:rsidP="007D58D0">
      <w:pPr>
        <w:numPr>
          <w:ilvl w:val="0"/>
          <w:numId w:val="2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bookmarkStart w:id="1" w:name="_Hlk160186754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The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values of Ngāti Toa Rangatira are upheld by way of </w:t>
      </w:r>
      <w:proofErr w:type="spellStart"/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>revitalising</w:t>
      </w:r>
      <w:proofErr w:type="spellEnd"/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 and protecting Ngāti Toa Rangatira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practices and tikanga associated with Te Awarua o Porirua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0"/>
          <w:u w:val="single"/>
          <w:shd w:val="clear" w:color="auto" w:fill="FFFFFF"/>
          <w:lang w:val="en-US" w:eastAsia="en-GB"/>
        </w:rPr>
        <w:t>are revitalized and protected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</w:t>
      </w:r>
    </w:p>
    <w:p w14:paraId="370C0851" w14:textId="77777777" w:rsidR="007D58D0" w:rsidRPr="007D58D0" w:rsidRDefault="007D58D0" w:rsidP="007D58D0">
      <w:pPr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Mahinga kai </w:t>
      </w:r>
      <w:proofErr w:type="gram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are</w:t>
      </w:r>
      <w:proofErr w:type="gram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abundant, healthy, diverse and can be safely gathered by Ngāti Toa Rangatira and served to Ngāti Toa Rangatira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uri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manuhiri to uphold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manaakitanga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</w:t>
      </w:r>
    </w:p>
    <w:p w14:paraId="63A7EC3B" w14:textId="77777777" w:rsidR="007D58D0" w:rsidRPr="007D58D0" w:rsidRDefault="007D58D0" w:rsidP="007D58D0">
      <w:pPr>
        <w:numPr>
          <w:ilvl w:val="0"/>
          <w:numId w:val="4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Have restored and healthy ecosystems that support an abundance and diversity of indigenous species, 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lang w:eastAsia="en-GB"/>
        </w:rPr>
        <w:t>and have a natural water flow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 have natural form and character 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and energy that demonstrate </w:t>
      </w:r>
      <w:proofErr w:type="spellStart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kei</w:t>
      </w:r>
      <w:proofErr w:type="spellEnd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te</w:t>
      </w:r>
      <w:proofErr w:type="spellEnd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ora</w:t>
      </w:r>
      <w:proofErr w:type="spellEnd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te</w:t>
      </w:r>
      <w:proofErr w:type="spellEnd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mauri (the mauri of the place is intact); and</w:t>
      </w:r>
    </w:p>
    <w:p w14:paraId="3C1E8759" w14:textId="77777777" w:rsidR="007D58D0" w:rsidRPr="007D58D0" w:rsidRDefault="007D58D0" w:rsidP="007D58D0">
      <w:pPr>
        <w:numPr>
          <w:ilvl w:val="0"/>
          <w:numId w:val="5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lang w:eastAsia="en-GB"/>
        </w:rPr>
        <w:t>Where appropriate and with the agreement of private landowners,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trike/>
          <w:color w:val="FF0000"/>
          <w:sz w:val="24"/>
          <w:szCs w:val="20"/>
          <w:lang w:eastAsia="en-GB"/>
        </w:rPr>
        <w:t>P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lang w:eastAsia="en-GB"/>
        </w:rPr>
        <w:t>p</w:t>
      </w:r>
      <w:r w:rsidRPr="007D58D0">
        <w:rPr>
          <w:rFonts w:ascii="Calibri" w:eastAsia="Times New Roman" w:hAnsi="Calibri" w:cs="Calibri"/>
          <w:sz w:val="24"/>
          <w:szCs w:val="20"/>
          <w:lang w:eastAsia="en-GB"/>
        </w:rPr>
        <w:t>rovide</w:t>
      </w:r>
      <w:proofErr w:type="spellEnd"/>
      <w:r w:rsidRPr="007D58D0">
        <w:rPr>
          <w:rFonts w:ascii="Calibri" w:eastAsia="Times New Roman" w:hAnsi="Calibri" w:cs="Calibri"/>
          <w:sz w:val="24"/>
          <w:szCs w:val="20"/>
          <w:lang w:eastAsia="en-GB"/>
        </w:rPr>
        <w:t xml:space="preserve">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for safe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and healthy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access for people and communities to enjoy a range of recreational activities including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waka ama, swimming, and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fishing, fostering a strong connection to these water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bodies; and </w:t>
      </w:r>
    </w:p>
    <w:p w14:paraId="7A3B3B18" w14:textId="77777777" w:rsidR="007D58D0" w:rsidRPr="007D58D0" w:rsidRDefault="007D58D0" w:rsidP="007D58D0">
      <w:pPr>
        <w:numPr>
          <w:ilvl w:val="0"/>
          <w:numId w:val="6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Are taken care of in partnership with Ngāti Toa Rangatira giving effect to the rights, values, </w:t>
      </w:r>
      <w:proofErr w:type="gram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aspirations</w:t>
      </w:r>
      <w:proofErr w:type="gram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obligations of Ngāti Toa as kaitiaki for the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mana of Te Awarua-o-Porirua as a taonga; and </w:t>
      </w:r>
    </w:p>
    <w:p w14:paraId="4D56F8C9" w14:textId="77777777" w:rsidR="007D58D0" w:rsidRPr="007D58D0" w:rsidRDefault="007D58D0" w:rsidP="007D58D0">
      <w:pPr>
        <w:numPr>
          <w:ilvl w:val="0"/>
          <w:numId w:val="7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Are resilient to the impacts of climate change;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</w:t>
      </w:r>
    </w:p>
    <w:bookmarkEnd w:id="0"/>
    <w:p w14:paraId="1C93149C" w14:textId="77777777" w:rsidR="007D58D0" w:rsidRPr="007D58D0" w:rsidRDefault="007D58D0" w:rsidP="007D58D0">
      <w:pPr>
        <w:numPr>
          <w:ilvl w:val="0"/>
          <w:numId w:val="8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The use of water and waterways provide for social and economic use benefits, provided that 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 xml:space="preserve">the vision for the ecological health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>such use does not compromise the health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and well-being of waterbodies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,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 xml:space="preserve">and 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freshwater ecosystems 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and coastal waters is not compromised.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>or the take and use of water for human health needs.</w:t>
      </w:r>
    </w:p>
    <w:bookmarkEnd w:id="1"/>
    <w:p w14:paraId="57034DE6" w14:textId="77777777" w:rsidR="007D58D0" w:rsidRDefault="007D58D0" w:rsidP="007D58D0">
      <w:pPr>
        <w:keepNext/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n-GB"/>
        </w:rPr>
      </w:pPr>
    </w:p>
    <w:p w14:paraId="4C6EB47E" w14:textId="77777777" w:rsidR="007D58D0" w:rsidRDefault="007D58D0" w:rsidP="007D58D0">
      <w:pPr>
        <w:keepNext/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n-GB"/>
        </w:rPr>
      </w:pPr>
    </w:p>
    <w:p w14:paraId="518A5320" w14:textId="791F9A48" w:rsidR="007D58D0" w:rsidRPr="007D58D0" w:rsidRDefault="007D58D0" w:rsidP="007D58D0">
      <w:pPr>
        <w:keepNext/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Objective TWT: Long-term freshwater vision for Te Whanganui-a-Tara</w:t>
      </w:r>
      <w:r w:rsidRPr="007D58D0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2A3E424" w14:textId="77777777" w:rsidR="007D58D0" w:rsidRPr="007D58D0" w:rsidRDefault="007D58D0" w:rsidP="007D58D0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By the year 2100 a state of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wai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ora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 is achieved for Te Whanganui-a-Tara in which the</w:t>
      </w:r>
      <w:r w:rsidRPr="007D58D0">
        <w:rPr>
          <w:rFonts w:ascii="Calibri" w:eastAsia="Times New Roman" w:hAnsi="Calibri" w:cs="Calibri"/>
          <w:sz w:val="24"/>
          <w:szCs w:val="20"/>
          <w:u w:val="single"/>
          <w:shd w:val="clear" w:color="auto" w:fill="FFFFFF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>harbour</w:t>
      </w:r>
      <w:proofErr w:type="spellEnd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 xml:space="preserve">, </w:t>
      </w:r>
      <w:proofErr w:type="spellStart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>awa</w:t>
      </w:r>
      <w:proofErr w:type="spellEnd"/>
      <w:r w:rsidRPr="007D58D0">
        <w:rPr>
          <w:rFonts w:ascii="Calibri" w:eastAsia="Times New Roman" w:hAnsi="Calibri" w:cs="Calibri"/>
          <w:sz w:val="24"/>
          <w:szCs w:val="20"/>
          <w:u w:val="single"/>
          <w:lang w:val="en-US" w:eastAsia="en-GB"/>
        </w:rPr>
        <w:t xml:space="preserve">, wetlands, groundwater estuaries and coast are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healthy, accessible, sustainable for future generations, and: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p w14:paraId="24741A0A" w14:textId="77777777" w:rsidR="007D58D0" w:rsidRPr="007D58D0" w:rsidRDefault="007D58D0" w:rsidP="007D58D0">
      <w:pPr>
        <w:numPr>
          <w:ilvl w:val="0"/>
          <w:numId w:val="1"/>
        </w:numPr>
        <w:tabs>
          <w:tab w:val="num" w:pos="1446"/>
        </w:tabs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bookmarkStart w:id="2" w:name="_Hlk160185306"/>
      <w:bookmarkStart w:id="3" w:name="_Hlk160186868"/>
      <w:r w:rsidRPr="007D58D0">
        <w:rPr>
          <w:rFonts w:ascii="Calibri" w:eastAsia="Times New Roman" w:hAnsi="Calibri" w:cs="Calibri"/>
          <w:strike/>
          <w:color w:val="FF0000"/>
          <w:sz w:val="24"/>
          <w:szCs w:val="20"/>
          <w:u w:val="single"/>
          <w:shd w:val="clear" w:color="auto" w:fill="FFFFFF"/>
          <w:lang w:val="en-US" w:eastAsia="en-GB"/>
        </w:rPr>
        <w:t>The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 Mana Whenua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practices and tikanga associated with Te Whanganui-a-Tara are revitalized and protected;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bookmarkEnd w:id="2"/>
    <w:p w14:paraId="1517A6C3" w14:textId="77777777" w:rsidR="007D58D0" w:rsidRPr="007D58D0" w:rsidRDefault="007D58D0" w:rsidP="007D58D0">
      <w:pPr>
        <w:numPr>
          <w:ilvl w:val="0"/>
          <w:numId w:val="9"/>
        </w:numPr>
        <w:tabs>
          <w:tab w:val="num" w:pos="1083"/>
        </w:tabs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Mahinga kai </w:t>
      </w:r>
      <w:proofErr w:type="gram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are</w:t>
      </w:r>
      <w:proofErr w:type="gram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abundant, healthy, diverse and can be safely gathered by Taranaki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Whānui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Ngāti Toa Rangatira and served to Taranaki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Whānui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Ngāti Toa Rangatira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uri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manuhiri to uphold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manaakitanga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; and 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 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p w14:paraId="47653200" w14:textId="77777777" w:rsidR="007D58D0" w:rsidRPr="007D58D0" w:rsidRDefault="007D58D0" w:rsidP="007D58D0">
      <w:pPr>
        <w:numPr>
          <w:ilvl w:val="0"/>
          <w:numId w:val="10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Have mauri/</w:t>
      </w:r>
      <w:proofErr w:type="spellStart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mouri</w:t>
      </w:r>
      <w:proofErr w:type="spellEnd"/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that is nurtured, strengthened and able to flourish and restored natural 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 xml:space="preserve">form and 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character, 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lang w:eastAsia="en-GB"/>
        </w:rPr>
        <w:t>have a natural water flow,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 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and ecosystems that support an abundance and diversity of indigenous species; and</w:t>
      </w:r>
    </w:p>
    <w:p w14:paraId="103BF575" w14:textId="77777777" w:rsidR="007D58D0" w:rsidRPr="007D58D0" w:rsidRDefault="007D58D0" w:rsidP="007D58D0">
      <w:pPr>
        <w:numPr>
          <w:ilvl w:val="0"/>
          <w:numId w:val="11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lang w:eastAsia="en-GB"/>
        </w:rPr>
        <w:t>Where appropriate and with the agreement of private landowners,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lang w:eastAsia="en-GB"/>
        </w:rPr>
        <w:t xml:space="preserve"> </w:t>
      </w:r>
      <w:proofErr w:type="spellStart"/>
      <w:r w:rsidRPr="007D58D0">
        <w:rPr>
          <w:rFonts w:ascii="Calibri" w:eastAsia="Times New Roman" w:hAnsi="Calibri" w:cs="Calibri"/>
          <w:strike/>
          <w:color w:val="FF0000"/>
          <w:sz w:val="24"/>
          <w:szCs w:val="20"/>
          <w:lang w:eastAsia="en-GB"/>
        </w:rPr>
        <w:t>P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lang w:eastAsia="en-GB"/>
        </w:rPr>
        <w:t>p</w:t>
      </w:r>
      <w:r w:rsidRPr="007D58D0">
        <w:rPr>
          <w:rFonts w:ascii="Calibri" w:eastAsia="Times New Roman" w:hAnsi="Calibri" w:cs="Calibri"/>
          <w:sz w:val="24"/>
          <w:szCs w:val="20"/>
          <w:lang w:eastAsia="en-GB"/>
        </w:rPr>
        <w:t>rovide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</w:t>
      </w:r>
      <w:bookmarkStart w:id="4" w:name="_Hlk160185639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for the safe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and healthy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access and use of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 xml:space="preserve">all rivers, lakes, wetlands, estuaries, harbours, and the coast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for a range of recreational activities including </w:t>
      </w:r>
      <w:r w:rsidRPr="007D58D0">
        <w:rPr>
          <w:rFonts w:ascii="Calibri" w:eastAsia="Times New Roman" w:hAnsi="Calibri" w:cs="Calibri"/>
          <w:color w:val="FF0000"/>
          <w:sz w:val="24"/>
          <w:szCs w:val="20"/>
          <w:u w:val="single"/>
          <w:shd w:val="clear" w:color="auto" w:fill="FFFFFF"/>
          <w:lang w:val="en-US" w:eastAsia="en-GB"/>
        </w:rPr>
        <w:t xml:space="preserve">waka ama, swimming, and 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fishing, fostering an appreciation of and connection to these waterbodies;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 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  <w:bookmarkEnd w:id="4"/>
    </w:p>
    <w:p w14:paraId="6744399B" w14:textId="77777777" w:rsidR="007D58D0" w:rsidRPr="007D58D0" w:rsidRDefault="007D58D0" w:rsidP="007D58D0">
      <w:pPr>
        <w:numPr>
          <w:ilvl w:val="0"/>
          <w:numId w:val="12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Are taken care of in partnership with Taranaki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Whānui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Ngāti Toa Rangatira giving effect to the rights, values, aspirations and obligations of Ngāti Toa and Taranaki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Whānui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that respects the mana of Te Whanganui-a-Tara and the whakapapa connection with Taranaki </w:t>
      </w:r>
      <w:proofErr w:type="spellStart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>Whānui</w:t>
      </w:r>
      <w:proofErr w:type="spellEnd"/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val="en-US" w:eastAsia="en-GB"/>
        </w:rPr>
        <w:t xml:space="preserve"> and Ngāti Toa Rangatira;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p w14:paraId="3F62E0AD" w14:textId="77777777" w:rsidR="007D58D0" w:rsidRPr="007D58D0" w:rsidRDefault="007D58D0" w:rsidP="007D58D0">
      <w:pPr>
        <w:numPr>
          <w:ilvl w:val="0"/>
          <w:numId w:val="13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color w:val="000000"/>
          <w:sz w:val="24"/>
          <w:szCs w:val="20"/>
          <w:u w:val="single"/>
          <w:shd w:val="clear" w:color="auto" w:fill="FFFFFF"/>
          <w:lang w:eastAsia="en-GB"/>
        </w:rPr>
        <w:t>Are resilient to the impacts of climate change; and</w:t>
      </w:r>
      <w:r w:rsidRPr="007D58D0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eastAsia="en-GB"/>
        </w:rPr>
        <w:t> </w:t>
      </w:r>
    </w:p>
    <w:p w14:paraId="4F521FDE" w14:textId="77777777" w:rsidR="007D58D0" w:rsidRPr="007D58D0" w:rsidRDefault="007D58D0" w:rsidP="007D58D0">
      <w:pPr>
        <w:numPr>
          <w:ilvl w:val="0"/>
          <w:numId w:val="14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en-GB"/>
        </w:rPr>
      </w:pP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The use of water and waterways provide for social and economic use benefits, provided that 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 xml:space="preserve">the vision for the ecological health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>such use does not compromise the health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and well-being of waterbodies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,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 xml:space="preserve">and 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freshwater ecosystems </w:t>
      </w:r>
      <w:r w:rsidRPr="007D58D0">
        <w:rPr>
          <w:rFonts w:ascii="Calibri" w:eastAsia="Times New Roman" w:hAnsi="Calibri" w:cs="Calibri"/>
          <w:color w:val="FF0000"/>
          <w:sz w:val="24"/>
          <w:szCs w:val="24"/>
          <w:u w:val="single"/>
          <w:lang w:eastAsia="en-GB"/>
        </w:rPr>
        <w:t>and coastal waters is not compromised.</w:t>
      </w:r>
      <w:r w:rsidRPr="007D58D0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r w:rsidRPr="007D58D0">
        <w:rPr>
          <w:rFonts w:ascii="Calibri" w:eastAsia="Times New Roman" w:hAnsi="Calibri" w:cs="Calibri"/>
          <w:strike/>
          <w:color w:val="FF0000"/>
          <w:sz w:val="24"/>
          <w:szCs w:val="24"/>
          <w:u w:val="single"/>
          <w:lang w:eastAsia="en-GB"/>
        </w:rPr>
        <w:t>or the take and use of water for human health needs.</w:t>
      </w:r>
    </w:p>
    <w:bookmarkEnd w:id="3"/>
    <w:p w14:paraId="1C9D6B61" w14:textId="77777777" w:rsidR="007D58D0" w:rsidRPr="007D58D0" w:rsidRDefault="007D58D0" w:rsidP="007D58D0">
      <w:pPr>
        <w:spacing w:before="120" w:after="120" w:line="240" w:lineRule="auto"/>
        <w:rPr>
          <w:rFonts w:ascii="Calibri" w:eastAsia="Times New Roman" w:hAnsi="Calibri" w:cs="Times New Roman"/>
          <w:sz w:val="24"/>
          <w:szCs w:val="20"/>
          <w:lang w:eastAsia="en-GB"/>
        </w:rPr>
      </w:pPr>
      <w:r w:rsidRPr="007D58D0">
        <w:rPr>
          <w:rFonts w:ascii="Segoe UI" w:eastAsia="Times New Roman" w:hAnsi="Segoe UI" w:cs="Segoe UI"/>
          <w:noProof/>
          <w:color w:val="000000"/>
          <w:sz w:val="18"/>
          <w:szCs w:val="18"/>
          <w:shd w:val="clear" w:color="auto" w:fill="FFFFFF"/>
          <w:lang w:eastAsia="en-GB"/>
        </w:rPr>
        <w:lastRenderedPageBreak/>
        <w:drawing>
          <wp:inline distT="0" distB="0" distL="0" distR="0" wp14:anchorId="42CA25CF" wp14:editId="60193D74">
            <wp:extent cx="5731510" cy="6038215"/>
            <wp:effectExtent l="0" t="0" r="2540" b="635"/>
            <wp:docPr id="1106793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A852" w14:textId="77777777" w:rsidR="00804D23" w:rsidRDefault="00804D23"/>
    <w:sectPr w:rsidR="0080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4DA"/>
    <w:multiLevelType w:val="multilevel"/>
    <w:tmpl w:val="12ACB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8F118B8"/>
    <w:multiLevelType w:val="multilevel"/>
    <w:tmpl w:val="C038A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7652"/>
    <w:multiLevelType w:val="multilevel"/>
    <w:tmpl w:val="E13A2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F77E3"/>
    <w:multiLevelType w:val="multilevel"/>
    <w:tmpl w:val="BFA82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A5B02"/>
    <w:multiLevelType w:val="multilevel"/>
    <w:tmpl w:val="136A0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E7F0F"/>
    <w:multiLevelType w:val="multilevel"/>
    <w:tmpl w:val="65BEC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630FF"/>
    <w:multiLevelType w:val="multilevel"/>
    <w:tmpl w:val="97B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64821"/>
    <w:multiLevelType w:val="multilevel"/>
    <w:tmpl w:val="A8649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504C6"/>
    <w:multiLevelType w:val="multilevel"/>
    <w:tmpl w:val="C9AEC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711DE"/>
    <w:multiLevelType w:val="multilevel"/>
    <w:tmpl w:val="88BC2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D1168"/>
    <w:multiLevelType w:val="multilevel"/>
    <w:tmpl w:val="E5C67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C7DC7"/>
    <w:multiLevelType w:val="multilevel"/>
    <w:tmpl w:val="E9BEE49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4805288"/>
    <w:multiLevelType w:val="multilevel"/>
    <w:tmpl w:val="969C8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17E3E"/>
    <w:multiLevelType w:val="multilevel"/>
    <w:tmpl w:val="8814F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944118">
    <w:abstractNumId w:val="0"/>
  </w:num>
  <w:num w:numId="2" w16cid:durableId="1938751925">
    <w:abstractNumId w:val="6"/>
  </w:num>
  <w:num w:numId="3" w16cid:durableId="1353799897">
    <w:abstractNumId w:val="7"/>
  </w:num>
  <w:num w:numId="4" w16cid:durableId="335348320">
    <w:abstractNumId w:val="4"/>
  </w:num>
  <w:num w:numId="5" w16cid:durableId="1523592720">
    <w:abstractNumId w:val="8"/>
  </w:num>
  <w:num w:numId="6" w16cid:durableId="1855991836">
    <w:abstractNumId w:val="13"/>
  </w:num>
  <w:num w:numId="7" w16cid:durableId="2141998090">
    <w:abstractNumId w:val="12"/>
  </w:num>
  <w:num w:numId="8" w16cid:durableId="1740710043">
    <w:abstractNumId w:val="2"/>
  </w:num>
  <w:num w:numId="9" w16cid:durableId="382026377">
    <w:abstractNumId w:val="11"/>
  </w:num>
  <w:num w:numId="10" w16cid:durableId="1937864856">
    <w:abstractNumId w:val="10"/>
  </w:num>
  <w:num w:numId="11" w16cid:durableId="45109885">
    <w:abstractNumId w:val="3"/>
  </w:num>
  <w:num w:numId="12" w16cid:durableId="621230090">
    <w:abstractNumId w:val="9"/>
  </w:num>
  <w:num w:numId="13" w16cid:durableId="635306151">
    <w:abstractNumId w:val="5"/>
  </w:num>
  <w:num w:numId="14" w16cid:durableId="187618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0"/>
    <w:rsid w:val="00142BD5"/>
    <w:rsid w:val="00523A26"/>
    <w:rsid w:val="007D58D0"/>
    <w:rsid w:val="00804D23"/>
    <w:rsid w:val="00A10621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36F7"/>
  <w15:chartTrackingRefBased/>
  <w15:docId w15:val="{67C63310-D95E-4BF2-B7CD-6ADB8B0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Sheild</dc:creator>
  <cp:keywords/>
  <dc:description/>
  <cp:lastModifiedBy>Richard Sheild</cp:lastModifiedBy>
  <cp:revision>2</cp:revision>
  <dcterms:created xsi:type="dcterms:W3CDTF">2024-03-07T18:38:00Z</dcterms:created>
  <dcterms:modified xsi:type="dcterms:W3CDTF">2024-03-07T18:38:00Z</dcterms:modified>
</cp:coreProperties>
</file>